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7226"/>
        <w:gridCol w:w="2129"/>
      </w:tblGrid>
      <w:tr w:rsidR="00E464FA" w:rsidRPr="00E464FA" w:rsidTr="00E464FA">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p>
        </w:tc>
        <w:tc>
          <w:tcPr>
            <w:tcW w:w="2129" w:type="dxa"/>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bookmarkStart w:id="0" w:name="a5"/>
            <w:bookmarkEnd w:id="0"/>
            <w:r w:rsidRPr="00E464FA">
              <w:rPr>
                <w:i/>
                <w:iCs/>
              </w:rPr>
              <w:t>УТВЕРЖДЕНО</w:t>
            </w:r>
            <w:r w:rsidRPr="00E464FA">
              <w:rPr>
                <w:i/>
                <w:iCs/>
              </w:rPr>
              <w:br/>
              <w:t>Постановление</w:t>
            </w:r>
            <w:r w:rsidRPr="00E464FA">
              <w:rPr>
                <w:i/>
                <w:iCs/>
              </w:rPr>
              <w:br/>
              <w:t>Президиума Совета</w:t>
            </w:r>
            <w:r w:rsidRPr="00E464FA">
              <w:rPr>
                <w:i/>
                <w:iCs/>
              </w:rPr>
              <w:br/>
              <w:t xml:space="preserve">Федерации </w:t>
            </w:r>
            <w:r w:rsidRPr="00E464FA">
              <w:rPr>
                <w:i/>
                <w:iCs/>
                <w:shd w:val="clear" w:color="auto" w:fill="FFFFFF"/>
              </w:rPr>
              <w:t>профсоюзов</w:t>
            </w:r>
            <w:r w:rsidRPr="00E464FA">
              <w:rPr>
                <w:i/>
                <w:iCs/>
              </w:rPr>
              <w:br/>
              <w:t>Беларуси</w:t>
            </w:r>
            <w:r w:rsidRPr="00E464FA">
              <w:rPr>
                <w:i/>
                <w:iCs/>
              </w:rPr>
              <w:br/>
              <w:t>29.03.2012 № 56</w:t>
            </w:r>
          </w:p>
        </w:tc>
      </w:tr>
    </w:tbl>
    <w:p w:rsidR="00E464FA" w:rsidRPr="00E464FA" w:rsidRDefault="00E464FA" w:rsidP="00E464FA">
      <w:pPr>
        <w:pStyle w:val="a4"/>
        <w:spacing w:line="280" w:lineRule="atLeast"/>
      </w:pPr>
      <w:r w:rsidRPr="00E464FA">
        <w:t> </w:t>
      </w:r>
    </w:p>
    <w:p w:rsidR="00E464FA" w:rsidRPr="00E464FA" w:rsidRDefault="00E464FA" w:rsidP="00E464FA">
      <w:pPr>
        <w:pStyle w:val="name"/>
        <w:spacing w:line="280" w:lineRule="atLeast"/>
        <w:rPr>
          <w:color w:val="auto"/>
        </w:rPr>
      </w:pPr>
      <w:bookmarkStart w:id="1" w:name="a22"/>
      <w:bookmarkEnd w:id="1"/>
      <w:r w:rsidRPr="00E464FA">
        <w:rPr>
          <w:color w:val="auto"/>
          <w:shd w:val="clear" w:color="auto" w:fill="FFFFFF"/>
        </w:rPr>
        <w:t>ТИПОВАЯ</w:t>
      </w:r>
      <w:r w:rsidRPr="00E464FA">
        <w:rPr>
          <w:color w:val="auto"/>
        </w:rPr>
        <w:t xml:space="preserve"> </w:t>
      </w:r>
      <w:r w:rsidRPr="00E464FA">
        <w:rPr>
          <w:color w:val="auto"/>
          <w:shd w:val="clear" w:color="auto" w:fill="FFFFFF"/>
        </w:rPr>
        <w:t>ИНСТРУКЦИЯ</w:t>
      </w:r>
      <w:r w:rsidRPr="00E464FA">
        <w:rPr>
          <w:color w:val="auto"/>
        </w:rPr>
        <w:br/>
      </w:r>
      <w:r w:rsidRPr="00E464FA">
        <w:rPr>
          <w:color w:val="auto"/>
          <w:shd w:val="clear" w:color="auto" w:fill="FFFFFF"/>
        </w:rPr>
        <w:t>о</w:t>
      </w:r>
      <w:r w:rsidRPr="00E464FA">
        <w:rPr>
          <w:color w:val="auto"/>
        </w:rPr>
        <w:t xml:space="preserve"> </w:t>
      </w:r>
      <w:r w:rsidRPr="00E464FA">
        <w:rPr>
          <w:color w:val="auto"/>
          <w:shd w:val="clear" w:color="auto" w:fill="FFFFFF"/>
        </w:rPr>
        <w:t>порядке</w:t>
      </w:r>
      <w:r w:rsidRPr="00E464FA">
        <w:rPr>
          <w:color w:val="auto"/>
        </w:rPr>
        <w:t xml:space="preserve"> </w:t>
      </w:r>
      <w:r w:rsidRPr="00E464FA">
        <w:rPr>
          <w:color w:val="auto"/>
          <w:shd w:val="clear" w:color="auto" w:fill="FFFFFF"/>
        </w:rPr>
        <w:t>уплаты</w:t>
      </w:r>
      <w:r w:rsidRPr="00E464FA">
        <w:rPr>
          <w:color w:val="auto"/>
        </w:rPr>
        <w:t xml:space="preserve"> и учета вступительных и ежемесячных членских </w:t>
      </w:r>
      <w:r w:rsidRPr="00E464FA">
        <w:rPr>
          <w:color w:val="auto"/>
          <w:shd w:val="clear" w:color="auto" w:fill="FFFFFF"/>
        </w:rPr>
        <w:t>профсоюзных</w:t>
      </w:r>
      <w:r w:rsidRPr="00E464FA">
        <w:rPr>
          <w:color w:val="auto"/>
        </w:rPr>
        <w:t xml:space="preserve"> </w:t>
      </w:r>
      <w:r w:rsidRPr="00E464FA">
        <w:rPr>
          <w:color w:val="auto"/>
          <w:shd w:val="clear" w:color="auto" w:fill="FFFFFF"/>
        </w:rPr>
        <w:t>взносов</w:t>
      </w:r>
    </w:p>
    <w:p w:rsidR="00E464FA" w:rsidRPr="00E464FA" w:rsidRDefault="00E464FA" w:rsidP="00E464FA">
      <w:pPr>
        <w:pStyle w:val="y3"/>
        <w:spacing w:line="280" w:lineRule="atLeast"/>
      </w:pPr>
      <w:bookmarkStart w:id="2" w:name="a1"/>
      <w:bookmarkEnd w:id="2"/>
      <w:r w:rsidRPr="00E464FA">
        <w:t xml:space="preserve">1. Размеры членских </w:t>
      </w:r>
      <w:r w:rsidRPr="00E464FA">
        <w:rPr>
          <w:shd w:val="clear" w:color="auto" w:fill="FFFFFF"/>
        </w:rPr>
        <w:t>профсоюзных</w:t>
      </w:r>
      <w:r w:rsidRPr="00E464FA">
        <w:t xml:space="preserve"> </w:t>
      </w:r>
      <w:r w:rsidRPr="00E464FA">
        <w:rPr>
          <w:shd w:val="clear" w:color="auto" w:fill="FFFFFF"/>
        </w:rPr>
        <w:t>взносов</w:t>
      </w:r>
    </w:p>
    <w:p w:rsidR="00E464FA" w:rsidRPr="00E464FA" w:rsidRDefault="00E464FA" w:rsidP="00E464FA">
      <w:pPr>
        <w:pStyle w:val="justify"/>
        <w:spacing w:line="280" w:lineRule="atLeast"/>
      </w:pPr>
      <w:bookmarkStart w:id="3" w:name="a8"/>
      <w:bookmarkEnd w:id="3"/>
      <w:r w:rsidRPr="00E464FA">
        <w:t xml:space="preserve">1. Ежемесячные членские </w:t>
      </w:r>
      <w:r w:rsidRPr="00E464FA">
        <w:rPr>
          <w:shd w:val="clear" w:color="auto" w:fill="FFFFFF"/>
        </w:rPr>
        <w:t>профсоюзные</w:t>
      </w:r>
      <w:r w:rsidRPr="00E464FA">
        <w:t xml:space="preserve"> </w:t>
      </w:r>
      <w:r w:rsidRPr="00E464FA">
        <w:rPr>
          <w:shd w:val="clear" w:color="auto" w:fill="FFFFFF"/>
        </w:rPr>
        <w:t>взносы</w:t>
      </w:r>
      <w:r w:rsidRPr="00E464FA">
        <w:t xml:space="preserve"> </w:t>
      </w:r>
      <w:r w:rsidRPr="00E464FA">
        <w:rPr>
          <w:shd w:val="clear" w:color="auto" w:fill="FFFFFF"/>
        </w:rPr>
        <w:t>уплачиваются</w:t>
      </w:r>
      <w:r w:rsidRPr="00E464FA">
        <w:t xml:space="preserve"> с начисленной суммы заработной </w:t>
      </w:r>
      <w:r w:rsidRPr="00E464FA">
        <w:rPr>
          <w:shd w:val="clear" w:color="auto" w:fill="FFFFFF"/>
        </w:rPr>
        <w:t>платы</w:t>
      </w:r>
      <w:r w:rsidRPr="00E464FA">
        <w:t xml:space="preserve"> и других выплат в размере одного процента месячного заработка.</w:t>
      </w:r>
    </w:p>
    <w:p w:rsidR="00E464FA" w:rsidRPr="00E464FA" w:rsidRDefault="00E464FA" w:rsidP="00E464FA">
      <w:pPr>
        <w:pStyle w:val="justify"/>
        <w:spacing w:line="280" w:lineRule="atLeast"/>
      </w:pPr>
      <w:r w:rsidRPr="00E464FA">
        <w:t xml:space="preserve">2. Члены </w:t>
      </w:r>
      <w:r w:rsidRPr="00E464FA">
        <w:rPr>
          <w:shd w:val="clear" w:color="auto" w:fill="FFFFFF"/>
        </w:rPr>
        <w:t>профсоюза</w:t>
      </w:r>
      <w:r w:rsidRPr="00E464FA">
        <w:t> - неработающие пенсионеры, лица, прекратившие работу в связи с необходимостью ухода за близкими родственниками, являющимися инвалидами I группы, уплачивают членские профсоюзные взносы в размере 0,1 процента от пенсий, установленных в республике на день уплаты взносов (если иное не определено Уставом профсоюза).</w:t>
      </w:r>
    </w:p>
    <w:p w:rsidR="00E464FA" w:rsidRPr="00E464FA" w:rsidRDefault="00E464FA" w:rsidP="00E464FA">
      <w:pPr>
        <w:pStyle w:val="justify"/>
        <w:spacing w:line="280" w:lineRule="atLeast"/>
      </w:pPr>
      <w:r w:rsidRPr="00E464FA">
        <w:t>Члены профсоюза - студенты учреждений, обеспечивающих получение высшего, среднего специального, профессионально-технического образования, уплачивают членские профсоюзные взносы в размере одного процента от стипендий, не получающие стипендии - в размере одного процента от установленных законодательством минимальных учебных стипендий (если иное не определено Уставом профсоюза).</w:t>
      </w:r>
    </w:p>
    <w:p w:rsidR="00E464FA" w:rsidRPr="00E464FA" w:rsidRDefault="00E464FA" w:rsidP="00E464FA">
      <w:pPr>
        <w:pStyle w:val="justify"/>
        <w:spacing w:line="280" w:lineRule="atLeast"/>
      </w:pPr>
      <w:r w:rsidRPr="00E464FA">
        <w:t>3. Вступительные взносы в профсоюз уплачиваются в размере одного процента от минимальной заработной платы (если иное не определено Уставом профсоюза).</w:t>
      </w:r>
    </w:p>
    <w:p w:rsidR="00E464FA" w:rsidRPr="00E464FA" w:rsidRDefault="00E464FA" w:rsidP="00E464FA">
      <w:pPr>
        <w:pStyle w:val="y3"/>
        <w:spacing w:line="280" w:lineRule="atLeast"/>
      </w:pPr>
      <w:bookmarkStart w:id="4" w:name="a2"/>
      <w:bookmarkEnd w:id="4"/>
      <w:r w:rsidRPr="00E464FA">
        <w:t>2. Порядок уплаты членских профсоюзных взносов</w:t>
      </w:r>
    </w:p>
    <w:p w:rsidR="00E464FA" w:rsidRPr="00E464FA" w:rsidRDefault="00E464FA" w:rsidP="00E464FA">
      <w:pPr>
        <w:pStyle w:val="justify"/>
        <w:spacing w:line="280" w:lineRule="atLeast"/>
      </w:pPr>
      <w:bookmarkStart w:id="5" w:name="a9"/>
      <w:bookmarkEnd w:id="5"/>
      <w:r w:rsidRPr="00E464FA">
        <w:t>4. Месячный заработок члена профсоюза определяется из сумм заработной платы, премий и других денежных вознаграждений за трудовую деятельность, начисленных по основному месту работы, а также другими организациями.</w:t>
      </w:r>
    </w:p>
    <w:p w:rsidR="00E464FA" w:rsidRPr="00E464FA" w:rsidRDefault="00E464FA" w:rsidP="00E464FA">
      <w:pPr>
        <w:pStyle w:val="justify"/>
        <w:spacing w:line="280" w:lineRule="atLeast"/>
      </w:pPr>
      <w:r w:rsidRPr="00E464FA">
        <w:t>5. При определении базы для удержания членских профсоюзных взносов учитываются:</w:t>
      </w:r>
    </w:p>
    <w:p w:rsidR="00E464FA" w:rsidRPr="00E464FA" w:rsidRDefault="00E464FA" w:rsidP="00E464FA">
      <w:pPr>
        <w:pStyle w:val="justify"/>
        <w:spacing w:line="280" w:lineRule="atLeast"/>
      </w:pPr>
      <w:r w:rsidRPr="00E464FA">
        <w:t>5.1. заработная плата по установленным в организациях системам оплаты труда;</w:t>
      </w:r>
    </w:p>
    <w:p w:rsidR="00E464FA" w:rsidRPr="00E464FA" w:rsidRDefault="00E464FA" w:rsidP="00E464FA">
      <w:pPr>
        <w:pStyle w:val="justify"/>
        <w:spacing w:line="280" w:lineRule="atLeast"/>
      </w:pPr>
      <w:r w:rsidRPr="00E464FA">
        <w:t>5.2. все виды доплат к заработной плате, выплачиваемых в соответствии с действующим законодательством и другими локальными нормативными правовыми актами;</w:t>
      </w:r>
    </w:p>
    <w:p w:rsidR="00E464FA" w:rsidRPr="00E464FA" w:rsidRDefault="00E464FA" w:rsidP="00E464FA">
      <w:pPr>
        <w:pStyle w:val="justify"/>
        <w:spacing w:line="280" w:lineRule="atLeast"/>
      </w:pPr>
      <w:r w:rsidRPr="00E464FA">
        <w:t>5.3. процентное и комиссионное вознаграждение независимо от того, выплачивается ли оно в виде дополнений к тарифной ставке (окладу) или как заработная плата;</w:t>
      </w:r>
    </w:p>
    <w:p w:rsidR="00E464FA" w:rsidRPr="00E464FA" w:rsidRDefault="00E464FA" w:rsidP="00E464FA">
      <w:pPr>
        <w:pStyle w:val="justify"/>
        <w:spacing w:line="280" w:lineRule="atLeast"/>
      </w:pPr>
      <w:r w:rsidRPr="00E464FA">
        <w:t>5.4. премии и другие вознаграждения за трудовую деятельность, научные открытия, изобретения, рационализаторские предложения и содействие их внедрению, создание и внедрение новой техники и технологии;</w:t>
      </w:r>
    </w:p>
    <w:p w:rsidR="00E464FA" w:rsidRPr="00E464FA" w:rsidRDefault="00E464FA" w:rsidP="00E464FA">
      <w:pPr>
        <w:pStyle w:val="justify"/>
        <w:spacing w:line="280" w:lineRule="atLeast"/>
      </w:pPr>
      <w:r w:rsidRPr="00E464FA">
        <w:lastRenderedPageBreak/>
        <w:t>5.5. заработная плата, выплачиваемая за работу по совместительству, за консультации, экспертизу, специальные поручения, услуги, работы, гонорары всех видов, выплаты за режиссерские и постановочные работы; за выступления на концертах, спектаклях, по радио и телевидению; выплаты за чтение лекций и педагогическую работу;</w:t>
      </w:r>
    </w:p>
    <w:p w:rsidR="00E464FA" w:rsidRPr="00E464FA" w:rsidRDefault="00E464FA" w:rsidP="00E464FA">
      <w:pPr>
        <w:pStyle w:val="justify"/>
        <w:spacing w:line="280" w:lineRule="atLeast"/>
      </w:pPr>
      <w:r w:rsidRPr="00E464FA">
        <w:t>5.6. трудовые (основной и дополнительный) и социальные (в связи с обучением) отпуска, компенсация за неиспользованный отпуск.</w:t>
      </w:r>
    </w:p>
    <w:p w:rsidR="00E464FA" w:rsidRPr="00E464FA" w:rsidRDefault="00E464FA" w:rsidP="00E464FA">
      <w:pPr>
        <w:pStyle w:val="justify"/>
        <w:spacing w:line="280" w:lineRule="atLeast"/>
      </w:pPr>
      <w:r w:rsidRPr="00E464FA">
        <w:t>6. При определении базы для удержания членских профсоюзных взносов не учитываются:</w:t>
      </w:r>
    </w:p>
    <w:p w:rsidR="00E464FA" w:rsidRPr="00E464FA" w:rsidRDefault="00E464FA" w:rsidP="00E464FA">
      <w:pPr>
        <w:pStyle w:val="justify"/>
        <w:spacing w:line="280" w:lineRule="atLeast"/>
      </w:pPr>
      <w:bookmarkStart w:id="6" w:name="a18"/>
      <w:bookmarkEnd w:id="6"/>
      <w:r w:rsidRPr="00E464FA">
        <w:t>6.1. выходное пособие при прекращении трудового договора (контракта);</w:t>
      </w:r>
    </w:p>
    <w:p w:rsidR="00E464FA" w:rsidRPr="00E464FA" w:rsidRDefault="00E464FA" w:rsidP="00E464FA">
      <w:pPr>
        <w:pStyle w:val="justify"/>
        <w:spacing w:line="280" w:lineRule="atLeast"/>
      </w:pPr>
      <w:bookmarkStart w:id="7" w:name="a13"/>
      <w:bookmarkEnd w:id="7"/>
      <w:r w:rsidRPr="00E464FA">
        <w:t>6.2. государственные пособия, выплачиваемые за счет средств республиканского бюджета и государственного социального страхования:</w:t>
      </w:r>
    </w:p>
    <w:p w:rsidR="00E464FA" w:rsidRPr="00E464FA" w:rsidRDefault="00E464FA" w:rsidP="00E464FA">
      <w:pPr>
        <w:pStyle w:val="justify"/>
        <w:spacing w:line="280" w:lineRule="atLeast"/>
      </w:pPr>
      <w:r w:rsidRPr="00E464FA">
        <w:t xml:space="preserve">6.3. компенсации и выплаты в связи с предоставлением льгот в соответствии с </w:t>
      </w:r>
      <w:r w:rsidRPr="00E464FA">
        <w:t>Законом</w:t>
      </w:r>
      <w:r w:rsidRPr="00E464FA">
        <w:t xml:space="preserve"> Республики Беларусь «О социальной защите граждан, пострадавших от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доплаты к заработной плате гражданам, работающим на территории радиоактивного загрязнения, и оплаты дополнительного отпуска;</w:t>
      </w:r>
    </w:p>
    <w:p w:rsidR="00E464FA" w:rsidRPr="00E464FA" w:rsidRDefault="00E464FA" w:rsidP="00E464FA">
      <w:pPr>
        <w:pStyle w:val="justify"/>
        <w:spacing w:line="280" w:lineRule="atLeast"/>
      </w:pPr>
      <w:bookmarkStart w:id="8" w:name="a16"/>
      <w:bookmarkEnd w:id="8"/>
      <w:r w:rsidRPr="00E464FA">
        <w:t>6.4. суммы, выплачиваемые в соответствии с законодательством Республики Беларусь в возмещение морального вреда, причиненного работникам;</w:t>
      </w:r>
    </w:p>
    <w:p w:rsidR="00E464FA" w:rsidRPr="00E464FA" w:rsidRDefault="00E464FA" w:rsidP="00E464FA">
      <w:pPr>
        <w:pStyle w:val="justify"/>
        <w:spacing w:line="280" w:lineRule="atLeast"/>
      </w:pPr>
      <w:bookmarkStart w:id="9" w:name="a12"/>
      <w:bookmarkEnd w:id="9"/>
      <w:r w:rsidRPr="00E464FA">
        <w:t>6.5. стоимость наград в денежном или натуральном выражении, присуждаемых за призовые места на районных, областных, республиканских соревнованиях, смотрах, конкурсах и других аналогичных соревнованиях.</w:t>
      </w:r>
    </w:p>
    <w:p w:rsidR="00E464FA" w:rsidRPr="00E464FA" w:rsidRDefault="00E464FA" w:rsidP="00E464FA">
      <w:pPr>
        <w:pStyle w:val="justify"/>
        <w:spacing w:line="280" w:lineRule="atLeast"/>
      </w:pPr>
      <w:bookmarkStart w:id="10" w:name="a19"/>
      <w:bookmarkEnd w:id="10"/>
      <w:r w:rsidRPr="00E464FA">
        <w:t>Государственные премии, премии ФПБ и профессиональных союзов, призы и премии за участие в конкурсах и спортивных соревнованиях, премии, выплачиваемые профсоюзному активу, премии и вознаграждения, выдаваемые в виде памятных подарков, дивиденды по акциям и другим ценным бумагам, вкладам;</w:t>
      </w:r>
    </w:p>
    <w:p w:rsidR="00E464FA" w:rsidRPr="00E464FA" w:rsidRDefault="00E464FA" w:rsidP="00E464FA">
      <w:pPr>
        <w:pStyle w:val="justify"/>
        <w:spacing w:line="280" w:lineRule="atLeast"/>
      </w:pPr>
      <w:bookmarkStart w:id="11" w:name="a14"/>
      <w:bookmarkEnd w:id="11"/>
      <w:r w:rsidRPr="00E464FA">
        <w:t>6.6. единовременные выплаты и стоимость подарков работникам в связи с юбилейными датами их рождения (40, 50, 60 лет и последующие юбилейные даты), а также при увольнении в связи с выходом на пенсию;</w:t>
      </w:r>
    </w:p>
    <w:p w:rsidR="00E464FA" w:rsidRPr="00E464FA" w:rsidRDefault="00E464FA" w:rsidP="00E464FA">
      <w:pPr>
        <w:pStyle w:val="justify"/>
        <w:spacing w:line="280" w:lineRule="atLeast"/>
      </w:pPr>
      <w:bookmarkStart w:id="12" w:name="a21"/>
      <w:bookmarkEnd w:id="12"/>
      <w:r w:rsidRPr="00E464FA">
        <w:t>6.7. суммы средств, выдаваемые работникам, нуждающимся в соответствии с законодательством Республики Беларусь в улучшении жилищных условий, на строительство (реконструкцию), покупку жилых помещений, а также на полное или частичное погашение кредитов (ссуд), полученных на указанные цели;</w:t>
      </w:r>
    </w:p>
    <w:p w:rsidR="00E464FA" w:rsidRPr="00E464FA" w:rsidRDefault="00E464FA" w:rsidP="00E464FA">
      <w:pPr>
        <w:pStyle w:val="justify"/>
        <w:spacing w:line="280" w:lineRule="atLeast"/>
      </w:pPr>
      <w:bookmarkStart w:id="13" w:name="a15"/>
      <w:bookmarkEnd w:id="13"/>
      <w:r w:rsidRPr="00E464FA">
        <w:t>6.8. материальная помощь работникам:</w:t>
      </w:r>
    </w:p>
    <w:p w:rsidR="00E464FA" w:rsidRPr="00E464FA" w:rsidRDefault="00E464FA" w:rsidP="00E464FA">
      <w:pPr>
        <w:pStyle w:val="justify"/>
        <w:spacing w:line="280" w:lineRule="atLeast"/>
      </w:pPr>
      <w:r w:rsidRPr="00E464FA">
        <w:t>оказываемая в соответствии с действующим законодательством Республики Беларусь, а также в связи с постигшим их стихийным бедствием, пожаром, хищением имущества, увечьем, тяжелой болезнью, смертью их близких родственников, вступлением в брак, рождением ребенка; находящимся в отпуске по уходу за ребенком до достижения им возраста трех лет;</w:t>
      </w:r>
    </w:p>
    <w:p w:rsidR="00E464FA" w:rsidRPr="00E464FA" w:rsidRDefault="00E464FA" w:rsidP="00E464FA">
      <w:pPr>
        <w:pStyle w:val="justify"/>
        <w:spacing w:line="280" w:lineRule="atLeast"/>
      </w:pPr>
      <w:bookmarkStart w:id="14" w:name="a17"/>
      <w:bookmarkEnd w:id="14"/>
      <w:r w:rsidRPr="00E464FA">
        <w:t>6.9. стоимость приобретенных за счет средств нанимателя путевок в детские оздоровительные учреждения, бесплатно выдаваемых работникам билетов на детские представления и (или) кондитерских наборов их детям в связи с праздником Нового года;</w:t>
      </w:r>
    </w:p>
    <w:p w:rsidR="00E464FA" w:rsidRPr="00E464FA" w:rsidRDefault="00E464FA" w:rsidP="00E464FA">
      <w:pPr>
        <w:pStyle w:val="justify"/>
        <w:spacing w:line="280" w:lineRule="atLeast"/>
      </w:pPr>
      <w:bookmarkStart w:id="15" w:name="a20"/>
      <w:bookmarkEnd w:id="15"/>
      <w:r w:rsidRPr="00E464FA">
        <w:t>6.10. доходы по акциям и другие доходы, получаемые от участия работников в управлении собственностью предприятия (дивиденды, проценты);</w:t>
      </w:r>
    </w:p>
    <w:p w:rsidR="00E464FA" w:rsidRPr="00E464FA" w:rsidRDefault="00E464FA" w:rsidP="00E464FA">
      <w:pPr>
        <w:pStyle w:val="justify"/>
        <w:spacing w:line="280" w:lineRule="atLeast"/>
      </w:pPr>
      <w:bookmarkStart w:id="16" w:name="a11"/>
      <w:bookmarkEnd w:id="16"/>
      <w:r w:rsidRPr="00E464FA">
        <w:lastRenderedPageBreak/>
        <w:t>6.11. заработная плата, начисленная за работу в день проведения субботника;</w:t>
      </w:r>
    </w:p>
    <w:p w:rsidR="00E464FA" w:rsidRPr="00E464FA" w:rsidRDefault="00E464FA" w:rsidP="00E464FA">
      <w:pPr>
        <w:pStyle w:val="justify"/>
        <w:spacing w:line="280" w:lineRule="atLeast"/>
      </w:pPr>
      <w:r w:rsidRPr="00E464FA">
        <w:t>6.12. суммы, выплачиваемые физическим лицам за выполнение общественных обязанностей в избирательных комиссиях, комиссиях по референдуму и комиссиях по проведению голосования об отзыве депутата;</w:t>
      </w:r>
    </w:p>
    <w:p w:rsidR="00E464FA" w:rsidRPr="00E464FA" w:rsidRDefault="00E464FA" w:rsidP="00E464FA">
      <w:pPr>
        <w:pStyle w:val="justify"/>
        <w:spacing w:line="280" w:lineRule="atLeast"/>
      </w:pPr>
      <w:bookmarkStart w:id="17" w:name="a10"/>
      <w:bookmarkEnd w:id="17"/>
      <w:r w:rsidRPr="00E464FA">
        <w:t>6.13. прочие выплаты (в том числе доходы, полученные в натуральной форме), не являющиеся вознаграждениями за выполнение трудовых или иных обязанностей, полученные работниками от нанимателя в соответствии с заключенными коллективными договорами (соглашениями) и другими локальными нормативными правовыми актами.</w:t>
      </w:r>
    </w:p>
    <w:p w:rsidR="00E464FA" w:rsidRPr="00E464FA" w:rsidRDefault="00E464FA" w:rsidP="00E464FA">
      <w:pPr>
        <w:pStyle w:val="justify"/>
        <w:spacing w:line="280" w:lineRule="atLeast"/>
      </w:pPr>
      <w:r w:rsidRPr="00E464FA">
        <w:t>7. Порядок уплаты взносов членами профсоюза в организации, а также порядок выполнения этой работы соответствующими службами нанимателя определяется коллективным договором (соглашением), иным локальным нормативным правовым актом.</w:t>
      </w:r>
    </w:p>
    <w:p w:rsidR="00E464FA" w:rsidRPr="00E464FA" w:rsidRDefault="00E464FA" w:rsidP="00E464FA">
      <w:pPr>
        <w:pStyle w:val="justify"/>
        <w:spacing w:line="280" w:lineRule="atLeast"/>
      </w:pPr>
      <w:r w:rsidRPr="00E464FA">
        <w:t>8. Уплата членских профсоюзных взносов производится лично работниками либо по их письменным заявлениям путем удержания указанных взносов нанимателем из заработной платы работников для перечисления в безналичном порядке.</w:t>
      </w:r>
    </w:p>
    <w:p w:rsidR="00E464FA" w:rsidRPr="00E464FA" w:rsidRDefault="00E464FA" w:rsidP="00E464FA">
      <w:pPr>
        <w:pStyle w:val="justify"/>
        <w:spacing w:line="280" w:lineRule="atLeast"/>
      </w:pPr>
      <w:bookmarkStart w:id="18" w:name="a6"/>
      <w:bookmarkEnd w:id="18"/>
      <w:r w:rsidRPr="00E464FA">
        <w:t>9. Члены профсоюза, не изъявившие желания уплачивать ежемесячные членские профсоюзные взносы безналичным порядком, уплачивают их с заработка за истекший период по основному месту работы наличными деньгами по ведомости установленной формы (прилагается) или через почтовое отделение.</w:t>
      </w:r>
    </w:p>
    <w:p w:rsidR="00E464FA" w:rsidRPr="00E464FA" w:rsidRDefault="00E464FA" w:rsidP="00E464FA">
      <w:pPr>
        <w:pStyle w:val="justify"/>
        <w:spacing w:line="280" w:lineRule="atLeast"/>
      </w:pPr>
      <w:r w:rsidRPr="00E464FA">
        <w:t xml:space="preserve">10. Ежемесячные профсоюзные взносы члены профсоюза в случаях, когда их основное место работы (учебы) и профсоюзного учета не совпадает с местом получения основной заработной платы (стипендии) или когда в связи с малочисленностью профсоюзной организации, особыми условиями работы нецелесообразно введение безналичного порядка уплаты взносов, уплачивают в таком же порядке в соответствии с </w:t>
      </w:r>
      <w:r w:rsidRPr="00E464FA">
        <w:t>пунктом 9</w:t>
      </w:r>
      <w:r w:rsidRPr="00E464FA">
        <w:t xml:space="preserve"> настоящей инструкции.</w:t>
      </w:r>
    </w:p>
    <w:p w:rsidR="00E464FA" w:rsidRPr="00E464FA" w:rsidRDefault="00E464FA" w:rsidP="00E464FA">
      <w:pPr>
        <w:pStyle w:val="justify"/>
        <w:spacing w:line="280" w:lineRule="atLeast"/>
      </w:pPr>
      <w:r w:rsidRPr="00E464FA">
        <w:t>11. Через почтовое отделение или наличными денежными средствами по ведомости в кассу первичной профсоюзной организации по месту учета вносят ежемесячные членские профсоюзные взносы члены профсоюза: неработающие пенсионеры, лица, прекратившие работу в связи с необходимостью ухода за близкими родственниками, являющимися инвалидами I группы, студенты и учащиеся, не получающие стипендии.</w:t>
      </w:r>
    </w:p>
    <w:p w:rsidR="00E464FA" w:rsidRPr="00E464FA" w:rsidRDefault="00E464FA" w:rsidP="00E464FA">
      <w:pPr>
        <w:pStyle w:val="justify"/>
        <w:spacing w:line="280" w:lineRule="atLeast"/>
      </w:pPr>
      <w:r w:rsidRPr="00E464FA">
        <w:t>12. С дополнительных заработков, начисленных члену профсоюза не по основному месту работы, членские профсоюзные взносы уплачиваются безналичным порядком, наличными денежными средствами или через почтовые отделения первичной профсоюзной организации по месту, где работник состоит на учете. При оформлении документов на выполнение этих работ члены профсоюза обязаны сообщить администрации и первичной профсоюзной организации сведения о принадлежности к профсоюзу.</w:t>
      </w:r>
    </w:p>
    <w:p w:rsidR="00E464FA" w:rsidRPr="00E464FA" w:rsidRDefault="00E464FA" w:rsidP="00E464FA">
      <w:pPr>
        <w:pStyle w:val="justify"/>
        <w:spacing w:line="280" w:lineRule="atLeast"/>
      </w:pPr>
      <w:r w:rsidRPr="00E464FA">
        <w:t>13. Вступительный взнос уплачивается наличными денежными средствами в кассу первичной профсоюзной организации по ведомости установленной формы при получении профсоюзного билета.</w:t>
      </w:r>
    </w:p>
    <w:p w:rsidR="00E464FA" w:rsidRPr="00E464FA" w:rsidRDefault="00E464FA" w:rsidP="00E464FA">
      <w:pPr>
        <w:pStyle w:val="justify"/>
        <w:spacing w:line="280" w:lineRule="atLeast"/>
      </w:pPr>
      <w:r w:rsidRPr="00E464FA">
        <w:t>14. Подтверждением ежемесячной уплаты членских профсоюзных взносов является:</w:t>
      </w:r>
    </w:p>
    <w:p w:rsidR="00E464FA" w:rsidRPr="00E464FA" w:rsidRDefault="00E464FA" w:rsidP="00E464FA">
      <w:pPr>
        <w:pStyle w:val="justify"/>
        <w:spacing w:line="280" w:lineRule="atLeast"/>
      </w:pPr>
      <w:r w:rsidRPr="00E464FA">
        <w:t>расчетно-платежная ведомость на заработную плату, лицевой счет или расчетная книжка (листок) работника - члена профсоюза - при безналичном порядке уплаты взносов;</w:t>
      </w:r>
    </w:p>
    <w:p w:rsidR="00E464FA" w:rsidRPr="00E464FA" w:rsidRDefault="00E464FA" w:rsidP="00E464FA">
      <w:pPr>
        <w:pStyle w:val="justify"/>
        <w:spacing w:line="280" w:lineRule="atLeast"/>
      </w:pPr>
      <w:r w:rsidRPr="00E464FA">
        <w:t>ведомость уплаты членских профсоюзных взносов при внесении их наличными деньгами.</w:t>
      </w:r>
    </w:p>
    <w:p w:rsidR="00E464FA" w:rsidRPr="00E464FA" w:rsidRDefault="00E464FA" w:rsidP="00E464FA">
      <w:pPr>
        <w:pStyle w:val="justify"/>
        <w:spacing w:line="280" w:lineRule="atLeast"/>
      </w:pPr>
      <w:r w:rsidRPr="00E464FA">
        <w:lastRenderedPageBreak/>
        <w:t>15. Отметка в профсоюзном билете и учетной карточке об уплате членских взносов производится при снятии члена профсоюза с профсоюзного учета.</w:t>
      </w:r>
    </w:p>
    <w:p w:rsidR="00E464FA" w:rsidRPr="00E464FA" w:rsidRDefault="00E464FA" w:rsidP="00E464FA">
      <w:pPr>
        <w:pStyle w:val="justify"/>
        <w:spacing w:line="280" w:lineRule="atLeast"/>
      </w:pPr>
      <w:r w:rsidRPr="00E464FA">
        <w:t>Первичная профсоюзная организация обеспечивает строгое соблюдение установленного порядка уплаты членских профсоюзных взносов и о результатах проводимой работы ежегодно информирует профсоюзное собрание (конференцию).</w:t>
      </w:r>
    </w:p>
    <w:p w:rsidR="00E464FA" w:rsidRPr="00E464FA" w:rsidRDefault="00E464FA" w:rsidP="00E464FA">
      <w:pPr>
        <w:pStyle w:val="y3"/>
        <w:spacing w:line="280" w:lineRule="atLeast"/>
      </w:pPr>
      <w:bookmarkStart w:id="19" w:name="a3"/>
      <w:bookmarkEnd w:id="19"/>
      <w:r w:rsidRPr="00E464FA">
        <w:t>3. Перечисление, учет членских профсоюзных взносов и контроль за их поступлением</w:t>
      </w:r>
    </w:p>
    <w:p w:rsidR="00E464FA" w:rsidRPr="00E464FA" w:rsidRDefault="00E464FA" w:rsidP="00E464FA">
      <w:pPr>
        <w:pStyle w:val="justify"/>
        <w:spacing w:line="280" w:lineRule="atLeast"/>
      </w:pPr>
      <w:r w:rsidRPr="00E464FA">
        <w:t>16. В зависимости от способа организации исчисления и выплаты заработной платы членские профсоюзные взносы, полученные безналичным порядком, перечисляются на счета профсоюзных органов:</w:t>
      </w:r>
    </w:p>
    <w:p w:rsidR="00E464FA" w:rsidRPr="00E464FA" w:rsidRDefault="00E464FA" w:rsidP="00E464FA">
      <w:pPr>
        <w:pStyle w:val="justify"/>
        <w:spacing w:line="280" w:lineRule="atLeast"/>
      </w:pPr>
      <w:bookmarkStart w:id="20" w:name="a7"/>
      <w:bookmarkEnd w:id="20"/>
      <w:r w:rsidRPr="00E464FA">
        <w:t>16.1. организациями различных форм собственности, выплачивающими заработную плату 2 раза в месяц и получающими членские профсоюзные взносы по заработку прошлого месяца, - одновременно с получением средств для выплаты заработной платы за вторую половину текущего месяца;</w:t>
      </w:r>
    </w:p>
    <w:p w:rsidR="00E464FA" w:rsidRPr="00E464FA" w:rsidRDefault="00E464FA" w:rsidP="00E464FA">
      <w:pPr>
        <w:pStyle w:val="justify"/>
        <w:spacing w:line="280" w:lineRule="atLeast"/>
      </w:pPr>
      <w:r w:rsidRPr="00E464FA">
        <w:t>16.2. организациями различных форм собственности, выплачивающими заработную плату 1 раз в месяц, - одновременно с получением средств для выплаты заработной платы.</w:t>
      </w:r>
    </w:p>
    <w:p w:rsidR="00E464FA" w:rsidRPr="00E464FA" w:rsidRDefault="00E464FA" w:rsidP="00E464FA">
      <w:pPr>
        <w:pStyle w:val="justify"/>
        <w:spacing w:line="280" w:lineRule="atLeast"/>
      </w:pPr>
      <w:r w:rsidRPr="00E464FA">
        <w:t>17. Членские профсоюзные взносы, полученные безналичным порядком в промежуточные периоды между установленными сроками выдачи заработной платы (в связи с уходом в отпуск, увольнением и по другим причинам), перечисляются соответственно в сроки, указанные в подпунктах </w:t>
      </w:r>
      <w:r w:rsidRPr="00E464FA">
        <w:t>16.1</w:t>
      </w:r>
      <w:r w:rsidRPr="00E464FA">
        <w:t>, 16.2.</w:t>
      </w:r>
    </w:p>
    <w:p w:rsidR="00E464FA" w:rsidRPr="00E464FA" w:rsidRDefault="00E464FA" w:rsidP="00E464FA">
      <w:pPr>
        <w:pStyle w:val="justify"/>
        <w:spacing w:line="280" w:lineRule="atLeast"/>
      </w:pPr>
      <w:r w:rsidRPr="00E464FA">
        <w:t>18. Платежные поручения на перечисление долей от общей суммы членских профсоюзных взносов на текущие счета первичной профсоюзной организации, органов профсоюза составляются в размерах, установленных Уставом профсоюза или решением руководящего органа профсоюза.</w:t>
      </w:r>
    </w:p>
    <w:p w:rsidR="00E464FA" w:rsidRPr="00E464FA" w:rsidRDefault="00E464FA" w:rsidP="00E464FA">
      <w:pPr>
        <w:pStyle w:val="justify"/>
        <w:spacing w:line="280" w:lineRule="atLeast"/>
      </w:pPr>
      <w:r w:rsidRPr="00E464FA">
        <w:t>В тексте платежных поручений указывается, за какой месяц приняты взносы, их общая сумма, в каких процентах и размерах полученные профсоюзные взносы перечисляются на текущий счет первичной профсоюзной организации и текущие счета органов профсоюза (территориальных объединений организаций профсоюзов).</w:t>
      </w:r>
    </w:p>
    <w:p w:rsidR="00E464FA" w:rsidRPr="00E464FA" w:rsidRDefault="00E464FA" w:rsidP="00E464FA">
      <w:pPr>
        <w:pStyle w:val="justify"/>
        <w:spacing w:line="280" w:lineRule="atLeast"/>
      </w:pPr>
      <w:r w:rsidRPr="00E464FA">
        <w:t>19. Членские профсоюзные взносы, полученные централизованными бухгалтериями от членов профсоюзов, состоящих на учете в разных профсоюзных организациях, перечисляются на текущие счета соответствующих первичных профсоюзных организаций и текущие счета органов профсоюзов.</w:t>
      </w:r>
    </w:p>
    <w:p w:rsidR="00E464FA" w:rsidRPr="00E464FA" w:rsidRDefault="00E464FA" w:rsidP="00E464FA">
      <w:pPr>
        <w:pStyle w:val="justify"/>
        <w:spacing w:line="280" w:lineRule="atLeast"/>
      </w:pPr>
      <w:r w:rsidRPr="00E464FA">
        <w:t>Членские профсоюзные взносы, уплаченные наличными деньгами по ведомости, сдаются в кассу первичной профсоюзной организации по приходному кассовому ордеру и вносятся на текущий счет в учреждении банка.</w:t>
      </w:r>
    </w:p>
    <w:p w:rsidR="00E464FA" w:rsidRPr="00E464FA" w:rsidRDefault="00E464FA" w:rsidP="00E464FA">
      <w:pPr>
        <w:pStyle w:val="justify"/>
        <w:spacing w:line="280" w:lineRule="atLeast"/>
      </w:pPr>
      <w:r w:rsidRPr="00E464FA">
        <w:t>20. Распределение сумм членских профсоюзных взносов в соответствии с нормами, утвержденными решением руководящих органов профсоюзов, с текущих счетов первичных профсоюзных организаций на текущие счета профсоюзов осуществляется в таком же порядке, как и при операциях по безналичному получению членских профсоюзных взносов.</w:t>
      </w:r>
    </w:p>
    <w:p w:rsidR="00E464FA" w:rsidRPr="00E464FA" w:rsidRDefault="00E464FA" w:rsidP="00E464FA">
      <w:pPr>
        <w:pStyle w:val="justify"/>
        <w:spacing w:line="280" w:lineRule="atLeast"/>
      </w:pPr>
      <w:r w:rsidRPr="00E464FA">
        <w:t xml:space="preserve">21. Первичные профсоюзные организации обязаны обеспечить работников бухгалтерии организации, осуществляющих по просьбе членов профсоюза безналичные расчеты по членским профсоюзным взносам, необходимыми нормативными документами и своевременно информировать о новых членах профсоюза, изъявивших желание </w:t>
      </w:r>
      <w:r w:rsidRPr="00E464FA">
        <w:lastRenderedPageBreak/>
        <w:t>уплачивать членские профсоюзные взносы безналичным порядком, выбытии членов профсоюза и в других необходимых случаях.</w:t>
      </w:r>
    </w:p>
    <w:p w:rsidR="00E464FA" w:rsidRPr="00E464FA" w:rsidRDefault="00E464FA" w:rsidP="00E464FA">
      <w:pPr>
        <w:pStyle w:val="justify"/>
        <w:spacing w:line="280" w:lineRule="atLeast"/>
      </w:pPr>
      <w:r w:rsidRPr="00E464FA">
        <w:t>22. Ревизионная комиссия организации профсоюза, финансовые работники первичной профсоюзной организации не реже двух раз в год проверяют правильность получения (уплаты) членских профсоюзных взносов, своевременность и полноту их перечисления на текущие счета первичных профсоюзных организаций, комитетов (советов) профсоюзов, территориальных профсоюзных органов.</w:t>
      </w:r>
    </w:p>
    <w:p w:rsidR="00E464FA" w:rsidRPr="00E464FA" w:rsidRDefault="00E464FA" w:rsidP="00E464FA">
      <w:pPr>
        <w:pStyle w:val="justify"/>
        <w:spacing w:line="280" w:lineRule="atLeast"/>
      </w:pPr>
      <w:r w:rsidRPr="00E464FA">
        <w:t>23. Контроль за правильностью получения членских профсоюзных взносов, своевременностью и полнотой их перечисления профорганам осуществляют вышестоящие комитеты (советы) профсоюзов (республиканские (центральные), областные, городские, районные, объединенные), территориальные профсоюзные органы.</w:t>
      </w:r>
    </w:p>
    <w:p w:rsidR="00E464FA" w:rsidRPr="00E464FA" w:rsidRDefault="00E464FA" w:rsidP="00E464FA">
      <w:pPr>
        <w:pStyle w:val="justify"/>
        <w:spacing w:line="280" w:lineRule="atLeast"/>
      </w:pPr>
      <w:r w:rsidRPr="00E464FA">
        <w:t>Правильность исчисления членских профсоюзных взносов проверяется по лицевым счетам работающих, ведомостям исчисления заработной платы и другим документам, по которым выплачивается заработная плата.</w:t>
      </w:r>
    </w:p>
    <w:p w:rsidR="00E464FA" w:rsidRPr="00E464FA" w:rsidRDefault="00E464FA" w:rsidP="00E464FA">
      <w:pPr>
        <w:pStyle w:val="justify"/>
        <w:spacing w:line="280" w:lineRule="atLeast"/>
      </w:pPr>
      <w:r w:rsidRPr="00E464FA">
        <w:t>24. Правильность получения членских профсоюзных взносов, уплаченных наличными по ведомостям, своевременность и полнота внесения денег в учреждения банка проверяются сплошным порядком.</w:t>
      </w:r>
    </w:p>
    <w:p w:rsidR="00E464FA" w:rsidRPr="00E464FA" w:rsidRDefault="00E464FA" w:rsidP="00E464FA">
      <w:pPr>
        <w:pStyle w:val="justify"/>
        <w:spacing w:line="280" w:lineRule="atLeast"/>
      </w:pPr>
      <w:r w:rsidRPr="00E464FA">
        <w:t>При выявлении фактов неправильного исчисления членских профсоюзных взносов, несвоевременного и неполного перечисления их профсоюзным органам ревизионными комиссиями, профсоюзными органами составляется акт и принимаются необходимые меры по устранению допущенных недостатков.</w:t>
      </w:r>
    </w:p>
    <w:p w:rsidR="00E464FA" w:rsidRPr="00E464FA" w:rsidRDefault="00E464FA" w:rsidP="00E464FA">
      <w:pPr>
        <w:pStyle w:val="a4"/>
        <w:spacing w:line="280" w:lineRule="atLeast"/>
      </w:pPr>
      <w:r w:rsidRPr="00E464FA">
        <w:t> </w:t>
      </w:r>
    </w:p>
    <w:tbl>
      <w:tblPr>
        <w:tblW w:w="8051" w:type="dxa"/>
        <w:tblLook w:val="04A0"/>
      </w:tblPr>
      <w:tblGrid>
        <w:gridCol w:w="5233"/>
        <w:gridCol w:w="2818"/>
      </w:tblGrid>
      <w:tr w:rsidR="00E464FA" w:rsidRPr="00E464FA" w:rsidTr="00E464FA">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1750" w:type="pct"/>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bookmarkStart w:id="21" w:name="a4"/>
            <w:bookmarkEnd w:id="21"/>
            <w:r w:rsidRPr="00E464FA">
              <w:rPr>
                <w:i/>
                <w:iCs/>
              </w:rPr>
              <w:t>Приложение</w:t>
            </w:r>
            <w:r w:rsidRPr="00E464FA">
              <w:rPr>
                <w:i/>
                <w:iCs/>
              </w:rPr>
              <w:br/>
              <w:t xml:space="preserve">к Типовой </w:t>
            </w:r>
            <w:r w:rsidRPr="00E464FA">
              <w:rPr>
                <w:i/>
                <w:iCs/>
              </w:rPr>
              <w:t>инструкции</w:t>
            </w:r>
            <w:r w:rsidRPr="00E464FA">
              <w:rPr>
                <w:i/>
                <w:iCs/>
              </w:rPr>
              <w:br/>
              <w:t>о порядке уплаты и учета вступительных и ежемесячных членских профсоюзных взносов</w:t>
            </w:r>
          </w:p>
        </w:tc>
      </w:tr>
    </w:tbl>
    <w:p w:rsidR="00E464FA" w:rsidRPr="00E464FA" w:rsidRDefault="00E464FA" w:rsidP="00E464FA">
      <w:pPr>
        <w:pStyle w:val="a4"/>
        <w:spacing w:line="280" w:lineRule="atLeast"/>
      </w:pPr>
      <w:r w:rsidRPr="00E464FA">
        <w:t> </w:t>
      </w:r>
    </w:p>
    <w:tbl>
      <w:tblPr>
        <w:tblW w:w="8051" w:type="dxa"/>
        <w:tblLook w:val="04A0"/>
      </w:tblPr>
      <w:tblGrid>
        <w:gridCol w:w="561"/>
        <w:gridCol w:w="1133"/>
        <w:gridCol w:w="1607"/>
        <w:gridCol w:w="1854"/>
        <w:gridCol w:w="812"/>
        <w:gridCol w:w="925"/>
        <w:gridCol w:w="1159"/>
      </w:tblGrid>
      <w:tr w:rsidR="00E464FA" w:rsidRPr="00E464FA" w:rsidTr="00E464FA">
        <w:tc>
          <w:tcPr>
            <w:tcW w:w="0" w:type="auto"/>
            <w:gridSpan w:val="7"/>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jc w:val="center"/>
              <w:rPr>
                <w:sz w:val="24"/>
                <w:szCs w:val="24"/>
              </w:rPr>
            </w:pPr>
            <w:r w:rsidRPr="00E464FA">
              <w:t>Образец ведомости уплаты членских профсоюзных взносов за 20___ год членами профсоюза</w:t>
            </w:r>
          </w:p>
        </w:tc>
      </w:tr>
      <w:tr w:rsidR="00E464FA" w:rsidRPr="00E464FA" w:rsidTr="00E464FA">
        <w:tc>
          <w:tcPr>
            <w:tcW w:w="0" w:type="auto"/>
            <w:gridSpan w:val="7"/>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r>
      <w:tr w:rsidR="00E464FA" w:rsidRPr="00E464FA" w:rsidTr="00E464FA">
        <w:tc>
          <w:tcPr>
            <w:tcW w:w="0" w:type="auto"/>
            <w:gridSpan w:val="7"/>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jc w:val="center"/>
              <w:rPr>
                <w:sz w:val="24"/>
                <w:szCs w:val="24"/>
              </w:rPr>
            </w:pPr>
            <w:r w:rsidRPr="00E464FA">
              <w:rPr>
                <w:b/>
                <w:bCs/>
              </w:rPr>
              <w:t>ВЕДОМОСТЬ № </w:t>
            </w:r>
            <w:r w:rsidRPr="00E464FA">
              <w:t>__</w:t>
            </w:r>
            <w:r w:rsidRPr="00E464FA">
              <w:br/>
            </w:r>
            <w:r w:rsidRPr="00E464FA">
              <w:rPr>
                <w:b/>
                <w:bCs/>
              </w:rPr>
              <w:t xml:space="preserve">уплаты членских профсоюзных взносов за ______ 20___ год членами профсоюза </w:t>
            </w:r>
            <w:r w:rsidRPr="00E464FA">
              <w:t>______________________________</w:t>
            </w:r>
            <w:r w:rsidRPr="00E464FA">
              <w:br/>
              <w:t>(наименование организации)</w:t>
            </w:r>
          </w:p>
        </w:tc>
      </w:tr>
      <w:tr w:rsidR="00E464FA" w:rsidRPr="00E464FA" w:rsidTr="00E464FA">
        <w:tc>
          <w:tcPr>
            <w:tcW w:w="0" w:type="auto"/>
            <w:gridSpan w:val="7"/>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r>
      <w:tr w:rsidR="00E464FA" w:rsidRPr="00E464FA" w:rsidTr="00E464FA">
        <w:tc>
          <w:tcPr>
            <w:tcW w:w="0" w:type="auto"/>
            <w:vMerge w:val="restart"/>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 п/п</w:t>
            </w:r>
          </w:p>
        </w:tc>
        <w:tc>
          <w:tcPr>
            <w:tcW w:w="0" w:type="auto"/>
            <w:vMerge w:val="restart"/>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Фамилия,</w:t>
            </w:r>
            <w:r w:rsidRPr="00E464FA">
              <w:br/>
              <w:t>И.О.</w:t>
            </w:r>
          </w:p>
        </w:tc>
        <w:tc>
          <w:tcPr>
            <w:tcW w:w="0" w:type="auto"/>
            <w:vMerge w:val="restart"/>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За какой последний месяц уплачены взносы</w:t>
            </w:r>
          </w:p>
        </w:tc>
        <w:tc>
          <w:tcPr>
            <w:tcW w:w="0" w:type="auto"/>
            <w:gridSpan w:val="2"/>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Сумма заработка в месяц</w:t>
            </w:r>
          </w:p>
        </w:tc>
        <w:tc>
          <w:tcPr>
            <w:tcW w:w="0" w:type="auto"/>
            <w:vMerge w:val="restart"/>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Сумма взноса</w:t>
            </w:r>
          </w:p>
        </w:tc>
        <w:tc>
          <w:tcPr>
            <w:tcW w:w="0" w:type="auto"/>
            <w:vMerge w:val="restart"/>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Расписка в уплате</w:t>
            </w:r>
          </w:p>
        </w:tc>
      </w:tr>
      <w:tr w:rsidR="00E464FA" w:rsidRPr="00E464FA" w:rsidTr="00E464FA">
        <w:tc>
          <w:tcPr>
            <w:tcW w:w="0" w:type="auto"/>
            <w:vMerge/>
            <w:tcBorders>
              <w:top w:val="single" w:sz="6" w:space="0" w:color="auto"/>
              <w:left w:val="single" w:sz="6" w:space="0" w:color="auto"/>
              <w:bottom w:val="single" w:sz="6" w:space="0" w:color="auto"/>
              <w:right w:val="single" w:sz="6" w:space="0" w:color="auto"/>
            </w:tcBorders>
            <w:vAlign w:val="center"/>
            <w:hideMark/>
          </w:tcPr>
          <w:p w:rsidR="00E464FA" w:rsidRPr="00E464FA" w:rsidRDefault="00E464FA">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464FA" w:rsidRPr="00E464FA" w:rsidRDefault="00E464FA">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464FA" w:rsidRPr="00E464FA" w:rsidRDefault="00E464FA">
            <w:pPr>
              <w:rPr>
                <w:sz w:val="24"/>
                <w:szCs w:val="24"/>
              </w:rPr>
            </w:pP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наименование месяца уплаты взноса</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сумма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464FA" w:rsidRPr="00E464FA" w:rsidRDefault="00E464FA">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464FA" w:rsidRPr="00E464FA" w:rsidRDefault="00E464FA">
            <w:pPr>
              <w:rPr>
                <w:sz w:val="24"/>
                <w:szCs w:val="24"/>
              </w:rPr>
            </w:pPr>
          </w:p>
        </w:tc>
      </w:tr>
      <w:tr w:rsidR="00E464FA" w:rsidRPr="00E464FA" w:rsidTr="00E464FA">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lastRenderedPageBreak/>
              <w:t>1</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2</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3</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4</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5</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6</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jc w:val="center"/>
              <w:rPr>
                <w:sz w:val="24"/>
                <w:szCs w:val="24"/>
              </w:rPr>
            </w:pPr>
            <w:r w:rsidRPr="00E464FA">
              <w:t>7</w:t>
            </w:r>
          </w:p>
        </w:tc>
      </w:tr>
      <w:tr w:rsidR="00E464FA" w:rsidRPr="00E464FA" w:rsidTr="00E464FA">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r>
      <w:tr w:rsidR="00E464FA" w:rsidRPr="00E464FA" w:rsidTr="00E464FA">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c>
          <w:tcPr>
            <w:tcW w:w="0" w:type="auto"/>
            <w:tcBorders>
              <w:top w:val="single" w:sz="6" w:space="0" w:color="auto"/>
              <w:left w:val="single" w:sz="6" w:space="0" w:color="auto"/>
              <w:bottom w:val="single" w:sz="6" w:space="0" w:color="auto"/>
              <w:right w:val="single" w:sz="6" w:space="0" w:color="auto"/>
            </w:tcBorders>
            <w:hideMark/>
          </w:tcPr>
          <w:p w:rsidR="00E464FA" w:rsidRPr="00E464FA" w:rsidRDefault="00E464FA">
            <w:pPr>
              <w:spacing w:line="280" w:lineRule="atLeast"/>
              <w:rPr>
                <w:sz w:val="24"/>
                <w:szCs w:val="24"/>
              </w:rPr>
            </w:pPr>
            <w:r w:rsidRPr="00E464FA">
              <w:t> </w:t>
            </w:r>
          </w:p>
        </w:tc>
      </w:tr>
      <w:tr w:rsidR="00E464FA" w:rsidRPr="00E464FA" w:rsidTr="00E464FA">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0" w:type="auto"/>
            <w:gridSpan w:val="2"/>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jc w:val="right"/>
              <w:rPr>
                <w:sz w:val="24"/>
                <w:szCs w:val="24"/>
              </w:rPr>
            </w:pPr>
            <w:r w:rsidRPr="00E464FA">
              <w:t>ИТОГО: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r>
    </w:tbl>
    <w:p w:rsidR="00E464FA" w:rsidRPr="00E464FA" w:rsidRDefault="00E464FA" w:rsidP="00E464FA">
      <w:pPr>
        <w:pStyle w:val="a4"/>
        <w:spacing w:line="280" w:lineRule="atLeast"/>
      </w:pPr>
      <w:r w:rsidRPr="00E464FA">
        <w:t> </w:t>
      </w:r>
    </w:p>
    <w:tbl>
      <w:tblPr>
        <w:tblW w:w="8051" w:type="dxa"/>
        <w:tblLook w:val="04A0"/>
      </w:tblPr>
      <w:tblGrid>
        <w:gridCol w:w="5153"/>
        <w:gridCol w:w="2898"/>
      </w:tblGrid>
      <w:tr w:rsidR="00E464FA" w:rsidRPr="00E464FA" w:rsidTr="00E464FA">
        <w:tc>
          <w:tcPr>
            <w:tcW w:w="3200" w:type="pct"/>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Членские взносы в сумме ___________________ рублей</w:t>
            </w:r>
            <w:r w:rsidRPr="00E464FA">
              <w:br/>
              <w:t>                                                (сумма прописью)</w:t>
            </w:r>
          </w:p>
        </w:tc>
        <w:tc>
          <w:tcPr>
            <w:tcW w:w="1800" w:type="pct"/>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r>
      <w:tr w:rsidR="00E464FA" w:rsidRPr="00E464FA" w:rsidTr="00E464FA">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xml:space="preserve">Сдал ___________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xml:space="preserve">Получил ____________ </w:t>
            </w:r>
          </w:p>
        </w:tc>
      </w:tr>
      <w:tr w:rsidR="00E464FA" w:rsidRPr="00E464FA" w:rsidTr="00E464FA">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r>
      <w:tr w:rsidR="00E464FA" w:rsidRPr="00E464FA" w:rsidTr="00E464FA">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 </w:t>
            </w:r>
          </w:p>
        </w:tc>
        <w:tc>
          <w:tcPr>
            <w:tcW w:w="0" w:type="auto"/>
            <w:tcBorders>
              <w:top w:val="nil"/>
              <w:left w:val="nil"/>
              <w:bottom w:val="nil"/>
              <w:right w:val="nil"/>
            </w:tcBorders>
            <w:tcMar>
              <w:top w:w="0" w:type="dxa"/>
              <w:left w:w="0" w:type="dxa"/>
              <w:bottom w:w="0" w:type="dxa"/>
              <w:right w:w="0" w:type="dxa"/>
            </w:tcMar>
            <w:hideMark/>
          </w:tcPr>
          <w:p w:rsidR="00E464FA" w:rsidRPr="00E464FA" w:rsidRDefault="00E464FA">
            <w:pPr>
              <w:spacing w:line="280" w:lineRule="atLeast"/>
              <w:rPr>
                <w:sz w:val="24"/>
                <w:szCs w:val="24"/>
              </w:rPr>
            </w:pPr>
            <w:r w:rsidRPr="00E464FA">
              <w:t>Приходный ордер</w:t>
            </w:r>
            <w:r w:rsidRPr="00E464FA">
              <w:br/>
              <w:t xml:space="preserve">№ ______ от __________ 20___ г. </w:t>
            </w:r>
          </w:p>
        </w:tc>
      </w:tr>
    </w:tbl>
    <w:p w:rsidR="000E245E" w:rsidRDefault="000E245E"/>
    <w:sectPr w:rsidR="000E245E" w:rsidSect="000E2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64FA"/>
    <w:rsid w:val="000E245E"/>
    <w:rsid w:val="00E46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4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64FA"/>
    <w:rPr>
      <w:color w:val="0038C8"/>
      <w:u w:val="single"/>
    </w:rPr>
  </w:style>
  <w:style w:type="paragraph" w:styleId="a4">
    <w:name w:val="Normal (Web)"/>
    <w:basedOn w:val="a"/>
    <w:uiPriority w:val="99"/>
    <w:semiHidden/>
    <w:unhideWhenUsed/>
    <w:rsid w:val="00E464FA"/>
    <w:pPr>
      <w:spacing w:before="160" w:after="160" w:line="240" w:lineRule="auto"/>
      <w:ind w:firstLine="567"/>
    </w:pPr>
    <w:rPr>
      <w:rFonts w:ascii="Times New Roman" w:eastAsia="Times New Roman" w:hAnsi="Times New Roman" w:cs="Times New Roman"/>
      <w:sz w:val="24"/>
      <w:szCs w:val="24"/>
      <w:lang w:eastAsia="ru-RU"/>
    </w:rPr>
  </w:style>
  <w:style w:type="paragraph" w:customStyle="1" w:styleId="justify">
    <w:name w:val="justify"/>
    <w:basedOn w:val="a"/>
    <w:rsid w:val="00E464FA"/>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y3">
    <w:name w:val="y3"/>
    <w:basedOn w:val="a"/>
    <w:rsid w:val="00E464FA"/>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name">
    <w:name w:val="name"/>
    <w:basedOn w:val="a"/>
    <w:rsid w:val="00E464FA"/>
    <w:pPr>
      <w:spacing w:before="160" w:after="240" w:line="240" w:lineRule="auto"/>
      <w:jc w:val="center"/>
    </w:pPr>
    <w:rPr>
      <w:rFonts w:ascii="Times New Roman" w:eastAsia="Times New Roman" w:hAnsi="Times New Roman" w:cs="Times New Roman"/>
      <w:b/>
      <w:bCs/>
      <w:color w:val="000088"/>
      <w:sz w:val="24"/>
      <w:szCs w:val="24"/>
      <w:lang w:eastAsia="ru-RU"/>
    </w:rPr>
  </w:style>
</w:styles>
</file>

<file path=word/webSettings.xml><?xml version="1.0" encoding="utf-8"?>
<w:webSettings xmlns:r="http://schemas.openxmlformats.org/officeDocument/2006/relationships" xmlns:w="http://schemas.openxmlformats.org/wordprocessingml/2006/main">
  <w:divs>
    <w:div w:id="6965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2016-12-13T07:30:00Z</dcterms:created>
  <dcterms:modified xsi:type="dcterms:W3CDTF">2016-12-13T07:31:00Z</dcterms:modified>
</cp:coreProperties>
</file>